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52AFECE7"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5D835" w14:textId="77777777" w:rsidR="00B4576D" w:rsidRDefault="00B4576D" w:rsidP="00B205F1">
      <w:r>
        <w:separator/>
      </w:r>
    </w:p>
  </w:endnote>
  <w:endnote w:type="continuationSeparator" w:id="0">
    <w:p w14:paraId="3CE7357E" w14:textId="77777777" w:rsidR="00B4576D" w:rsidRDefault="00B4576D"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F3DA7" w14:textId="77777777" w:rsidR="00B4576D" w:rsidRDefault="00B4576D" w:rsidP="00B205F1">
      <w:r>
        <w:separator/>
      </w:r>
    </w:p>
  </w:footnote>
  <w:footnote w:type="continuationSeparator" w:id="0">
    <w:p w14:paraId="261AE6CB" w14:textId="77777777" w:rsidR="00B4576D" w:rsidRDefault="00B4576D"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72F8"/>
    <w:rsid w:val="006B5CF0"/>
    <w:rsid w:val="006D5F4D"/>
    <w:rsid w:val="006F200E"/>
    <w:rsid w:val="006F4F75"/>
    <w:rsid w:val="0071169C"/>
    <w:rsid w:val="00742A30"/>
    <w:rsid w:val="00770E5F"/>
    <w:rsid w:val="00804589"/>
    <w:rsid w:val="0080564A"/>
    <w:rsid w:val="00875CFA"/>
    <w:rsid w:val="00887D18"/>
    <w:rsid w:val="008F7B88"/>
    <w:rsid w:val="00910C4B"/>
    <w:rsid w:val="0092080A"/>
    <w:rsid w:val="00A25AE0"/>
    <w:rsid w:val="00A30A81"/>
    <w:rsid w:val="00A63D3D"/>
    <w:rsid w:val="00A6455D"/>
    <w:rsid w:val="00B01F3D"/>
    <w:rsid w:val="00B04084"/>
    <w:rsid w:val="00B205F1"/>
    <w:rsid w:val="00B4576D"/>
    <w:rsid w:val="00B7193E"/>
    <w:rsid w:val="00B80D62"/>
    <w:rsid w:val="00BF6A61"/>
    <w:rsid w:val="00C133A5"/>
    <w:rsid w:val="00C426C5"/>
    <w:rsid w:val="00C96986"/>
    <w:rsid w:val="00CC5A2A"/>
    <w:rsid w:val="00CD5C07"/>
    <w:rsid w:val="00D05B90"/>
    <w:rsid w:val="00D373D7"/>
    <w:rsid w:val="00D74293"/>
    <w:rsid w:val="00D85B9D"/>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2025-08-22T07:27:00Z</dcterms:modified>
</cp:coreProperties>
</file>